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9" w:rsidRPr="00D00C53" w:rsidRDefault="00F91CE9" w:rsidP="00F91CE9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附件2</w:t>
      </w:r>
    </w:p>
    <w:p w:rsidR="00F91CE9" w:rsidRPr="00D00C53" w:rsidRDefault="00F91CE9" w:rsidP="00F91CE9">
      <w:pPr>
        <w:adjustRightInd w:val="0"/>
        <w:spacing w:afterLines="50" w:after="156" w:line="240" w:lineRule="auto"/>
        <w:ind w:firstLineChars="0" w:firstLine="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单一来源采购单位内部会商意见表（一）</w:t>
      </w:r>
    </w:p>
    <w:p w:rsidR="00F91CE9" w:rsidRPr="00D00C53" w:rsidRDefault="00F91CE9" w:rsidP="00F91CE9">
      <w:pPr>
        <w:wordWrap w:val="0"/>
        <w:adjustRightInd w:val="0"/>
        <w:spacing w:line="240" w:lineRule="auto"/>
        <w:ind w:firstLineChars="0" w:firstLine="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kern w:val="0"/>
          <w:sz w:val="24"/>
        </w:rPr>
        <w:t>填表日期：</w:t>
      </w:r>
      <w:r w:rsidR="00203371">
        <w:rPr>
          <w:rFonts w:ascii="Times New Roman" w:hAnsi="Times New Roman"/>
          <w:kern w:val="0"/>
          <w:sz w:val="24"/>
        </w:rPr>
        <w:t>2021</w:t>
      </w:r>
      <w:r w:rsidRPr="00D00C53">
        <w:rPr>
          <w:rFonts w:ascii="Times New Roman" w:hAnsi="Times New Roman" w:hint="eastAsia"/>
          <w:kern w:val="0"/>
          <w:sz w:val="24"/>
        </w:rPr>
        <w:t>年</w:t>
      </w:r>
      <w:r w:rsidR="00203371">
        <w:rPr>
          <w:rFonts w:ascii="Times New Roman" w:hAnsi="Times New Roman"/>
          <w:kern w:val="0"/>
          <w:sz w:val="24"/>
        </w:rPr>
        <w:t>9</w:t>
      </w:r>
      <w:r w:rsidRPr="00D00C53">
        <w:rPr>
          <w:rFonts w:ascii="Times New Roman" w:hAnsi="Times New Roman" w:hint="eastAsia"/>
          <w:kern w:val="0"/>
          <w:sz w:val="24"/>
        </w:rPr>
        <w:t>月</w:t>
      </w:r>
      <w:r w:rsidR="00203371">
        <w:rPr>
          <w:rFonts w:ascii="Times New Roman" w:hAnsi="Times New Roman"/>
          <w:kern w:val="0"/>
          <w:sz w:val="24"/>
        </w:rPr>
        <w:t>28</w:t>
      </w:r>
      <w:r w:rsidRPr="00D00C53">
        <w:rPr>
          <w:rFonts w:ascii="Times New Roman" w:hAnsi="Times New Roman" w:hint="eastAsia"/>
          <w:kern w:val="0"/>
          <w:sz w:val="24"/>
        </w:rPr>
        <w:t>日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3385"/>
        <w:gridCol w:w="5877"/>
      </w:tblGrid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1A1DD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LHAASO</w:t>
            </w:r>
            <w:r w:rsidR="00F9251C" w:rsidRPr="00203371">
              <w:rPr>
                <w:rFonts w:ascii="宋体" w:hAnsi="宋体" w:cs="宋体" w:hint="eastAsia"/>
                <w:kern w:val="0"/>
                <w:sz w:val="24"/>
              </w:rPr>
              <w:t>专用集成电路工艺与代加工服务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F9251C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203371">
              <w:rPr>
                <w:rFonts w:ascii="宋体" w:hAnsi="宋体" w:cs="宋体"/>
                <w:kern w:val="0"/>
                <w:sz w:val="24"/>
              </w:rPr>
              <w:t>668000</w:t>
            </w:r>
            <w:r w:rsidRPr="00203371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04D97" w:rsidRPr="00792B69">
              <w:rPr>
                <w:rFonts w:ascii="宋体" w:hAnsi="宋体" w:cs="宋体" w:hint="eastAsia"/>
                <w:kern w:val="0"/>
                <w:sz w:val="24"/>
              </w:rPr>
              <w:t>报价单见附页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采购项目概况、拟采用采购方式的理由、供应商（制造商及相关代理商）名称及地址</w:t>
            </w:r>
          </w:p>
        </w:tc>
      </w:tr>
      <w:tr w:rsidR="00F91CE9" w:rsidRPr="00D00C53" w:rsidTr="00203371">
        <w:trPr>
          <w:trHeight w:val="6372"/>
          <w:jc w:val="center"/>
        </w:trPr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371" w:rsidRDefault="00203371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F9251C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2B226A">
              <w:rPr>
                <w:rFonts w:ascii="仿宋" w:eastAsia="仿宋" w:hAnsi="仿宋" w:cs="仿宋_GB2312" w:hint="eastAsia"/>
                <w:sz w:val="24"/>
              </w:rPr>
              <w:t>由于集成电路设计的特殊性，需要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保证流片工艺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的一致，从而保证设计参数不变。</w:t>
            </w:r>
            <w:r w:rsidR="001A1DDF">
              <w:rPr>
                <w:rFonts w:ascii="仿宋" w:eastAsia="仿宋" w:hAnsi="仿宋" w:cs="仿宋_GB2312" w:hint="eastAsia"/>
                <w:sz w:val="24"/>
              </w:rPr>
              <w:t>高能所之前已基于相同工艺进行了多次流片，故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采用单一来源方式继续在此工艺上流片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针对</w:t>
            </w:r>
            <w:r w:rsidR="001A1DDF">
              <w:rPr>
                <w:rFonts w:ascii="仿宋" w:eastAsia="仿宋" w:hAnsi="仿宋" w:cs="仿宋_GB2312" w:hint="eastAsia"/>
                <w:sz w:val="24"/>
              </w:rPr>
              <w:t>LHAASO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专用集成电路流片工艺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，高能所已在2016年发布了招标公告，然而当时无人投标造成流标，因此后续都只能按照单一来源方式进行采购。</w:t>
            </w:r>
          </w:p>
          <w:p w:rsidR="00F9251C" w:rsidRPr="00D00C53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是国内最大的芯片代工厂，其工艺稳定可靠，</w:t>
            </w:r>
            <w:r w:rsidRPr="00F9251C">
              <w:rPr>
                <w:rFonts w:ascii="仿宋" w:eastAsia="仿宋" w:hAnsi="仿宋" w:cs="仿宋_GB2312" w:hint="eastAsia"/>
                <w:sz w:val="24"/>
              </w:rPr>
              <w:t>通过前期对流片成本、工艺可靠性等多因素的调研，</w:t>
            </w:r>
            <w:proofErr w:type="gramStart"/>
            <w:r w:rsidRPr="00F9251C"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 w:rsidRPr="00F9251C">
              <w:rPr>
                <w:rFonts w:ascii="仿宋" w:eastAsia="仿宋" w:hAnsi="仿宋" w:cs="仿宋_GB2312" w:hint="eastAsia"/>
                <w:sz w:val="24"/>
              </w:rPr>
              <w:t>0.13um混合信号工艺是唯一适合前期研发，同时又支持后续批量生产的集成电路工艺。高能所电子学的研发已在此工艺上进行了多版本的设计和改进，积累了大量的设计经验，不同工艺的设计不能够直接移植到其他工艺，只能采用完全相同的工艺继续芯片生产，即</w:t>
            </w:r>
            <w:proofErr w:type="gramStart"/>
            <w:r w:rsidRPr="00F9251C"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 w:rsidRPr="00F9251C">
              <w:rPr>
                <w:rFonts w:ascii="仿宋" w:eastAsia="仿宋" w:hAnsi="仿宋" w:cs="仿宋_GB2312" w:hint="eastAsia"/>
                <w:sz w:val="24"/>
              </w:rPr>
              <w:t>0.13um混合信号工艺。</w:t>
            </w:r>
          </w:p>
          <w:p w:rsidR="00F9251C" w:rsidRPr="00D00C53" w:rsidRDefault="00904D97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公司不接收单独科研单位进行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直接流片加工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，需要通过中间代理公司进行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流片合同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的签订，</w:t>
            </w:r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华进半导体先导技术研发中心</w:t>
            </w:r>
            <w:r>
              <w:rPr>
                <w:rFonts w:ascii="仿宋" w:eastAsia="仿宋" w:hAnsi="仿宋" w:cs="仿宋_GB2312" w:hint="eastAsia"/>
                <w:sz w:val="24"/>
              </w:rPr>
              <w:t>可以代理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中芯国际流片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业务，并且</w:t>
            </w:r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长期与我所保持良好的合作关系，代理各种工艺</w:t>
            </w:r>
            <w:proofErr w:type="gramStart"/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的流片服务</w:t>
            </w:r>
            <w:proofErr w:type="gramEnd"/>
            <w:r w:rsidR="00F9251C" w:rsidRPr="002B226A">
              <w:rPr>
                <w:rFonts w:ascii="仿宋" w:eastAsia="仿宋" w:hAnsi="仿宋" w:cs="仿宋_GB2312" w:hint="eastAsia"/>
                <w:sz w:val="24"/>
              </w:rPr>
              <w:t>，报价合理，信誉可靠。</w:t>
            </w:r>
            <w:r w:rsidR="00203371">
              <w:rPr>
                <w:rFonts w:ascii="仿宋" w:eastAsia="仿宋" w:hAnsi="仿宋" w:cs="仿宋_GB2312" w:hint="eastAsia"/>
                <w:sz w:val="24"/>
              </w:rPr>
              <w:t>因此</w:t>
            </w:r>
            <w:r w:rsidR="00203371">
              <w:rPr>
                <w:rFonts w:ascii="仿宋" w:eastAsia="仿宋" w:hAnsi="仿宋" w:cs="仿宋_GB2312"/>
                <w:sz w:val="24"/>
              </w:rPr>
              <w:t>申请本项目从该供应商处以单一来源方式采购。</w:t>
            </w:r>
          </w:p>
          <w:p w:rsidR="00F9251C" w:rsidRPr="00D00C53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单一来源采购供应商信息如下：</w:t>
            </w:r>
          </w:p>
          <w:p w:rsidR="00F9251C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供应商名称：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华进半导体封装先导技术研发中心有限公司</w:t>
            </w:r>
          </w:p>
          <w:p w:rsidR="00F91CE9" w:rsidRPr="00203371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供应商地址：</w:t>
            </w:r>
            <w:r w:rsidRPr="002B226A">
              <w:rPr>
                <w:rFonts w:ascii="仿宋" w:eastAsia="仿宋" w:hAnsi="仿宋" w:cs="仿宋_GB2312" w:hint="eastAsia"/>
                <w:sz w:val="24"/>
              </w:rPr>
              <w:t>无锡市新区太湖国际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科技园菱湖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大道200号中国</w:t>
            </w:r>
            <w:proofErr w:type="gramStart"/>
            <w:r w:rsidRPr="002B226A">
              <w:rPr>
                <w:rFonts w:ascii="仿宋" w:eastAsia="仿宋" w:hAnsi="仿宋" w:cs="仿宋_GB2312" w:hint="eastAsia"/>
                <w:sz w:val="24"/>
              </w:rPr>
              <w:t>传感网</w:t>
            </w:r>
            <w:proofErr w:type="gramEnd"/>
            <w:r w:rsidRPr="002B226A">
              <w:rPr>
                <w:rFonts w:ascii="仿宋" w:eastAsia="仿宋" w:hAnsi="仿宋" w:cs="仿宋_GB2312" w:hint="eastAsia"/>
                <w:sz w:val="24"/>
              </w:rPr>
              <w:t>国际创新园D1栋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</w:p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E9" w:rsidRPr="00D00C53" w:rsidRDefault="00516340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CE9" w:rsidRPr="00D00C53" w:rsidRDefault="00904D97" w:rsidP="00904D97">
            <w:pPr>
              <w:widowControl/>
              <w:spacing w:line="240" w:lineRule="auto"/>
              <w:ind w:right="840"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792B69">
              <w:rPr>
                <w:rFonts w:ascii="Times New Roman" w:hAnsi="Times New Roman" w:hint="eastAsia"/>
                <w:kern w:val="0"/>
                <w:sz w:val="21"/>
                <w:szCs w:val="21"/>
              </w:rPr>
              <w:t>0</w:t>
            </w:r>
            <w:r w:rsidR="001A1DDF">
              <w:rPr>
                <w:rFonts w:ascii="Times New Roman" w:hAnsi="Times New Roman"/>
                <w:kern w:val="0"/>
                <w:sz w:val="21"/>
                <w:szCs w:val="21"/>
              </w:rPr>
              <w:t>10-88236184</w:t>
            </w:r>
            <w:bookmarkStart w:id="0" w:name="_GoBack"/>
            <w:bookmarkEnd w:id="0"/>
          </w:p>
        </w:tc>
      </w:tr>
    </w:tbl>
    <w:p w:rsidR="00F91CE9" w:rsidRPr="00D00C53" w:rsidRDefault="00F91CE9" w:rsidP="00F91CE9">
      <w:pPr>
        <w:widowControl/>
        <w:spacing w:line="240" w:lineRule="auto"/>
        <w:ind w:leftChars="-135" w:left="-378" w:rightChars="-162" w:right="-454"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说明：1.100万≤金额＜200万的采购项目，需要直接采用单一来源采购方式的，采购前填写此表；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2.如篇幅较长，可将部分内容作为附件，由使用部门负责人另行签字；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3.此表除使用部门负责人签字外，其他内容均用计算机打印。</w:t>
      </w:r>
    </w:p>
    <w:p w:rsidR="00DA7597" w:rsidRDefault="00DA7597">
      <w:pPr>
        <w:widowControl/>
        <w:spacing w:line="240" w:lineRule="auto"/>
        <w:ind w:firstLineChars="0" w:firstLine="0"/>
        <w:jc w:val="left"/>
      </w:pPr>
      <w:r>
        <w:br w:type="page"/>
      </w:r>
    </w:p>
    <w:p w:rsidR="00EB7118" w:rsidRDefault="00DA7597">
      <w:pPr>
        <w:ind w:firstLine="560"/>
      </w:pPr>
      <w:r>
        <w:rPr>
          <w:rFonts w:hint="eastAsia"/>
        </w:rPr>
        <w:lastRenderedPageBreak/>
        <w:t>附件：</w:t>
      </w:r>
    </w:p>
    <w:p w:rsidR="00DA7597" w:rsidRPr="00F91CE9" w:rsidRDefault="00DA7597" w:rsidP="00DA7597">
      <w:pPr>
        <w:pStyle w:val="a3"/>
        <w:ind w:firstLine="560"/>
      </w:pPr>
      <w:r>
        <w:rPr>
          <w:noProof/>
        </w:rPr>
        <w:drawing>
          <wp:inline distT="0" distB="0" distL="0" distR="0" wp14:anchorId="065826DD" wp14:editId="2F463384">
            <wp:extent cx="5274310" cy="7076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597" w:rsidRPr="00F9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E9"/>
    <w:rsid w:val="00187A3E"/>
    <w:rsid w:val="001A1DDF"/>
    <w:rsid w:val="00203371"/>
    <w:rsid w:val="002E1B0D"/>
    <w:rsid w:val="00516340"/>
    <w:rsid w:val="00792B69"/>
    <w:rsid w:val="00904D97"/>
    <w:rsid w:val="00A759B3"/>
    <w:rsid w:val="00DA7597"/>
    <w:rsid w:val="00DB5005"/>
    <w:rsid w:val="00E75E06"/>
    <w:rsid w:val="00F91CE9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1FF60-AE6A-4479-846B-8AF1117A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E9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597"/>
    <w:pPr>
      <w:widowControl w:val="0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Changjf</cp:lastModifiedBy>
  <cp:revision>11</cp:revision>
  <dcterms:created xsi:type="dcterms:W3CDTF">2021-04-06T08:42:00Z</dcterms:created>
  <dcterms:modified xsi:type="dcterms:W3CDTF">2021-10-21T03:12:00Z</dcterms:modified>
</cp:coreProperties>
</file>